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Bankruptcy recovery evidence pack</w:t>
      </w:r>
    </w:p>
    <w:p>
      <w:r>
        <w:rPr>
          <w:color w:val="55626B"/>
        </w:rPr>
        <w:t>General information to help you organise your paperwork. Not legal advice.</w:t>
      </w:r>
    </w:p>
    <w:p>
      <w:pPr>
        <w:pStyle w:val="Heading1"/>
      </w:pPr>
      <w:r>
        <w:t>Estate and project summary</w:t>
      </w:r>
    </w:p>
    <w:p>
      <w:r>
        <w:t>Assemble a coherent record for the Licensed Insolvency Trustee and your adviser. This pack supports review; it is not a proof of claim, lien filing or assertion of priority. Keep the evidence for the debtor identity and proceeding separate from project payment records.</w:t>
      </w:r>
    </w:p>
    <w:p>
      <w:r>
        <w:rPr>
          <w:b/>
        </w:rPr>
        <w:t xml:space="preserve">Creditor legal name and representative: </w:t>
      </w:r>
      <w:r>
        <w:t>[enter here]</w:t>
      </w:r>
    </w:p>
    <w:p>
      <w:r>
        <w:rPr>
          <w:b/>
        </w:rPr>
        <w:t xml:space="preserve">Debtor legal name and entity identifier: </w:t>
      </w:r>
      <w:r>
        <w:t>[enter here]</w:t>
      </w:r>
    </w:p>
    <w:p>
      <w:r>
        <w:rPr>
          <w:b/>
        </w:rPr>
        <w:t xml:space="preserve">Estate / court file and proceeding type: </w:t>
      </w:r>
      <w:r>
        <w:t>[enter here]</w:t>
      </w:r>
    </w:p>
    <w:p>
      <w:r>
        <w:rPr>
          <w:b/>
        </w:rPr>
        <w:t xml:space="preserve">Proceeding date and source: </w:t>
      </w:r>
      <w:r>
        <w:t>[enter here]</w:t>
      </w:r>
    </w:p>
    <w:p>
      <w:r>
        <w:rPr>
          <w:b/>
        </w:rPr>
        <w:t xml:space="preserve">Verified Licensed Insolvency Trustee or other professional contact: </w:t>
      </w:r>
      <w:r>
        <w:t>[enter here]</w:t>
      </w:r>
    </w:p>
    <w:p>
      <w:r>
        <w:rPr>
          <w:b/>
        </w:rPr>
        <w:t xml:space="preserve">Project address, jurisdiction and owner type: </w:t>
      </w:r>
      <w:r>
        <w:t>[enter here]</w:t>
      </w:r>
    </w:p>
    <w:p>
      <w:r>
        <w:rPr>
          <w:b/>
        </w:rPr>
        <w:t xml:space="preserve">Contract reference and scope: </w:t>
      </w:r>
      <w:r>
        <w:t>[enter here]</w:t>
      </w:r>
    </w:p>
    <w:p>
      <w:r>
        <w:rPr>
          <w:b/>
        </w:rPr>
        <w:t xml:space="preserve">Prepared by, version and as-of date: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Event</w:t>
            </w:r>
          </w:p>
        </w:tc>
        <w:tc>
          <w:tcPr>
            <w:tcW w:type="dxa" w:w="3312"/>
            <w:shd w:val="clear" w:fill="DDE8EF"/>
          </w:tcPr>
          <w:p>
            <w:r>
              <w:rPr>
                <w:b/>
                <w:sz w:val="18"/>
              </w:rPr>
              <w:t>Date / uncertainty</w:t>
            </w:r>
          </w:p>
        </w:tc>
        <w:tc>
          <w:tcPr>
            <w:tcW w:type="dxa" w:w="3312"/>
            <w:shd w:val="clear" w:fill="DDE8EF"/>
          </w:tcPr>
          <w:p>
            <w:r>
              <w:rPr>
                <w:b/>
                <w:sz w:val="18"/>
              </w:rPr>
              <w:t>Evidence ID</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bl>
    <w:p/>
    <w:p>
      <w:r>
        <w:t>Include the original notice and court order if available. Distinguish a search match from confirmation of your exact contracting debtor.</w:t>
      </w:r>
    </w:p>
    <w:p>
      <w:r>
        <w:br w:type="page"/>
      </w:r>
    </w:p>
    <w:p>
      <w:pPr>
        <w:pStyle w:val="Heading1"/>
      </w:pPr>
      <w:r>
        <w:t>Debt and recovery reconciliation</w:t>
      </w:r>
    </w:p>
    <w:tbl>
      <w:tblPr>
        <w:tblStyle w:val="TableGrid"/>
        <w:tblW w:type="auto" w:w="0"/>
        <w:tblLook w:firstColumn="1" w:firstRow="1" w:lastColumn="0" w:lastRow="0" w:noHBand="0" w:noVBand="1" w:val="04A0"/>
      </w:tblPr>
      <w:tblGrid>
        <w:gridCol w:w="1987"/>
        <w:gridCol w:w="1987"/>
        <w:gridCol w:w="1987"/>
        <w:gridCol w:w="1987"/>
        <w:gridCol w:w="1987"/>
      </w:tblGrid>
      <w:tr>
        <w:trPr>
          <w:tblHeader/>
        </w:trPr>
        <w:tc>
          <w:tcPr>
            <w:tcW w:type="dxa" w:w="1987"/>
            <w:shd w:val="clear" w:fill="DDE8EF"/>
          </w:tcPr>
          <w:p>
            <w:r>
              <w:rPr>
                <w:b/>
                <w:sz w:val="18"/>
              </w:rPr>
              <w:t>Invoice / supply period</w:t>
            </w:r>
          </w:p>
        </w:tc>
        <w:tc>
          <w:tcPr>
            <w:tcW w:type="dxa" w:w="1987"/>
            <w:shd w:val="clear" w:fill="DDE8EF"/>
          </w:tcPr>
          <w:p>
            <w:r>
              <w:rPr>
                <w:b/>
                <w:sz w:val="18"/>
              </w:rPr>
              <w:t>Gross CAD</w:t>
            </w:r>
          </w:p>
        </w:tc>
        <w:tc>
          <w:tcPr>
            <w:tcW w:type="dxa" w:w="1987"/>
            <w:shd w:val="clear" w:fill="DDE8EF"/>
          </w:tcPr>
          <w:p>
            <w:r>
              <w:rPr>
                <w:b/>
                <w:sz w:val="18"/>
              </w:rPr>
              <w:t>Credits CAD</w:t>
            </w:r>
          </w:p>
        </w:tc>
        <w:tc>
          <w:tcPr>
            <w:tcW w:type="dxa" w:w="1987"/>
            <w:shd w:val="clear" w:fill="DDE8EF"/>
          </w:tcPr>
          <w:p>
            <w:r>
              <w:rPr>
                <w:b/>
                <w:sz w:val="18"/>
              </w:rPr>
              <w:t>Paid CAD</w:t>
            </w:r>
          </w:p>
        </w:tc>
        <w:tc>
          <w:tcPr>
            <w:tcW w:type="dxa" w:w="1987"/>
            <w:shd w:val="clear" w:fill="DDE8EF"/>
          </w:tcPr>
          <w:p>
            <w:r>
              <w:rPr>
                <w:b/>
                <w:sz w:val="18"/>
              </w:rPr>
              <w:t>Balance CAD</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bl>
    <w:p/>
    <w:p>
      <w:r>
        <w:rPr>
          <w:b/>
        </w:rPr>
        <w:t xml:space="preserve">Total ledger balance at proceeding snapshot: </w:t>
      </w:r>
      <w:r>
        <w:t>[enter here]</w:t>
      </w:r>
    </w:p>
    <w:p>
      <w:r>
        <w:rPr>
          <w:b/>
        </w:rPr>
        <w:t xml:space="preserve">Retained holdback already included: </w:t>
      </w:r>
      <w:r>
        <w:t>[enter here]</w:t>
      </w:r>
    </w:p>
    <w:p>
      <w:r>
        <w:rPr>
          <w:b/>
        </w:rPr>
        <w:t xml:space="preserve">Disputed or contingent items: </w:t>
      </w:r>
      <w:r>
        <w:t>[enter here]</w:t>
      </w:r>
    </w:p>
    <w:p>
      <w:r>
        <w:rPr>
          <w:b/>
        </w:rPr>
        <w:t xml:space="preserve">Post-snapshot invoices and receipts kept separate: </w:t>
      </w:r>
      <w:r>
        <w:t>[enter here]</w:t>
      </w:r>
    </w:p>
    <w:p>
      <w:r>
        <w:rPr>
          <w:b/>
        </w:rPr>
        <w:t xml:space="preserve">Security or guarantee documents: </w:t>
      </w:r>
      <w:r>
        <w:t>[enter here]</w:t>
      </w:r>
    </w:p>
    <w:p>
      <w:r>
        <w:rPr>
          <w:b/>
        </w:rPr>
        <w:t xml:space="preserve">Other recovery received and allocation: </w:t>
      </w:r>
      <w:r>
        <w:t>[enter here]</w:t>
      </w:r>
    </w:p>
    <w:p>
      <w:pPr>
        <w:pStyle w:val="Heading1"/>
      </w:pPr>
      <w:r>
        <w:t>Project evidence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Work / change</w:t>
            </w:r>
          </w:p>
        </w:tc>
        <w:tc>
          <w:tcPr>
            <w:tcW w:type="dxa" w:w="2484"/>
            <w:shd w:val="clear" w:fill="DDE8EF"/>
          </w:tcPr>
          <w:p>
            <w:r>
              <w:rPr>
                <w:b/>
                <w:sz w:val="18"/>
              </w:rPr>
              <w:t>Authorization</w:t>
            </w:r>
          </w:p>
        </w:tc>
        <w:tc>
          <w:tcPr>
            <w:tcW w:type="dxa" w:w="2484"/>
            <w:shd w:val="clear" w:fill="DDE8EF"/>
          </w:tcPr>
          <w:p>
            <w:r>
              <w:rPr>
                <w:b/>
                <w:sz w:val="18"/>
              </w:rPr>
              <w:t>Delivery or performance</w:t>
            </w:r>
          </w:p>
        </w:tc>
        <w:tc>
          <w:tcPr>
            <w:tcW w:type="dxa" w:w="2484"/>
            <w:shd w:val="clear" w:fill="DDE8EF"/>
          </w:tcPr>
          <w:p>
            <w:r>
              <w:rPr>
                <w:b/>
                <w:sz w:val="18"/>
              </w:rPr>
              <w:t>Invoice link</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t>Do not add a change order twice if already invoiced. Do not add holdback to a balance that already contains it. A projected estate distribution is not a confirmed recovery.</w:t>
      </w:r>
    </w:p>
    <w:p>
      <w:r>
        <w:br w:type="page"/>
      </w:r>
    </w:p>
    <w:p>
      <w:pPr>
        <w:pStyle w:val="Heading1"/>
      </w:pPr>
      <w:r>
        <w:t>Document index and outstanding questions</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ID</w:t>
            </w:r>
          </w:p>
        </w:tc>
        <w:tc>
          <w:tcPr>
            <w:tcW w:type="dxa" w:w="2484"/>
            <w:shd w:val="clear" w:fill="DDE8EF"/>
          </w:tcPr>
          <w:p>
            <w:r>
              <w:rPr>
                <w:b/>
                <w:sz w:val="18"/>
              </w:rPr>
              <w:t>Document / date</w:t>
            </w:r>
          </w:p>
        </w:tc>
        <w:tc>
          <w:tcPr>
            <w:tcW w:type="dxa" w:w="2484"/>
            <w:shd w:val="clear" w:fill="DDE8EF"/>
          </w:tcPr>
          <w:p>
            <w:r>
              <w:rPr>
                <w:b/>
                <w:sz w:val="18"/>
              </w:rPr>
              <w:t>Fact supported</w:t>
            </w:r>
          </w:p>
        </w:tc>
        <w:tc>
          <w:tcPr>
            <w:tcW w:type="dxa" w:w="2484"/>
            <w:shd w:val="clear" w:fill="DDE8EF"/>
          </w:tcPr>
          <w:p>
            <w:r>
              <w:rPr>
                <w:b/>
                <w:sz w:val="18"/>
              </w:rPr>
              <w:t>Custodian / location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t>☐  Contract, invoice statement, credits, bank receipts and performance evidence reconcile.</w:t>
      </w:r>
    </w:p>
    <w:p>
      <w:r>
        <w:t>☐  Proceeding identity and professional contact are verified.</w:t>
      </w:r>
    </w:p>
    <w:p>
      <w:r>
        <w:t>☐  Trust, holdback, lien and security questions are marked for legal review.</w:t>
      </w:r>
    </w:p>
    <w:p>
      <w:r>
        <w:t>☐  Submitted official form, attachments and delivery evidence are retained separately.</w:t>
      </w:r>
    </w:p>
    <w:p>
      <w:r>
        <w:t>☐  Every request from the Licensed Insolvency Trustee has an owner and recorded response.</w:t>
      </w:r>
    </w:p>
    <w:p>
      <w:r>
        <w:rPr>
          <w:b/>
        </w:rPr>
        <w:t xml:space="preserve">Missing evidence and retrieval owner: </w:t>
      </w:r>
      <w:r>
        <w:t>[enter here]</w:t>
      </w:r>
    </w:p>
    <w:p>
      <w:r>
        <w:rPr>
          <w:b/>
        </w:rPr>
        <w:t xml:space="preserve">Unconfirmed dates requiring attention: </w:t>
      </w:r>
      <w:r>
        <w:t>[enter here]</w:t>
      </w:r>
    </w:p>
    <w:p>
      <w:r>
        <w:rPr>
          <w:b/>
        </w:rPr>
        <w:t xml:space="preserve">Questions for adviser or Licensed Insolvency Trustee: </w:t>
      </w:r>
      <w:r>
        <w:t>[enter here]</w:t>
      </w:r>
    </w:p>
    <w:p>
      <w:r>
        <w:rPr>
          <w:b/>
        </w:rPr>
        <w:t xml:space="preserve">Secure transfer recipient and date: </w:t>
      </w:r>
      <w:r>
        <w:t>[enter here]</w:t>
      </w:r>
    </w:p>
    <w:p>
      <w:r>
        <w:t>Do not treat this pack as an official form or a legal opinion.</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EP02-10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Bankruptcy recovery evidence pack</dc:title>
  <dc:subject>EP02-10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