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Creditor recovery action plan</w:t>
      </w:r>
    </w:p>
    <w:p>
      <w:r>
        <w:rPr>
          <w:color w:val="55626B"/>
        </w:rPr>
        <w:t>General information to help you organise your paperwork. Not legal advice.</w:t>
      </w:r>
    </w:p>
    <w:p>
      <w:pPr>
        <w:pStyle w:val="Heading1"/>
      </w:pPr>
      <w:r>
        <w:t>Coordinate the creditor response</w:t>
      </w:r>
    </w:p>
    <w:p>
      <w:r>
        <w:t>Use this plan after identifying the correct debtor and proceeding. Assign actions to accounting, project staff and the professional adviser. A task target is not a statutory deadline and does not predict recovery.</w:t>
      </w:r>
    </w:p>
    <w:p>
      <w:r>
        <w:rPr>
          <w:b/>
        </w:rPr>
        <w:t xml:space="preserve">Creditor and debtor: </w:t>
      </w:r>
      <w:r>
        <w:t>[enter here]</w:t>
      </w:r>
    </w:p>
    <w:p>
      <w:r>
        <w:rPr>
          <w:b/>
        </w:rPr>
        <w:t xml:space="preserve">Estate / court file: </w:t>
      </w:r>
      <w:r>
        <w:t>[enter here]</w:t>
      </w:r>
    </w:p>
    <w:p>
      <w:r>
        <w:rPr>
          <w:b/>
        </w:rPr>
        <w:t xml:space="preserve">Plan owner and review date: </w:t>
      </w:r>
      <w:r>
        <w:t>[enter here]</w:t>
      </w:r>
    </w:p>
    <w:p>
      <w:r>
        <w:rPr>
          <w:b/>
        </w:rPr>
        <w:t xml:space="preserve">Snapshot ledger balance: </w:t>
      </w:r>
      <w:r>
        <w:t>[enter here]</w:t>
      </w:r>
    </w:p>
    <w:p>
      <w:r>
        <w:rPr>
          <w:b/>
        </w:rPr>
        <w:t xml:space="preserve">Verified professional contact: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Action</w:t>
            </w:r>
          </w:p>
        </w:tc>
        <w:tc>
          <w:tcPr>
            <w:tcW w:type="dxa" w:w="2484"/>
            <w:shd w:val="clear" w:fill="DDE8EF"/>
          </w:tcPr>
          <w:p>
            <w:r>
              <w:rPr>
                <w:b/>
                <w:sz w:val="18"/>
              </w:rPr>
              <w:t>Owner</w:t>
            </w:r>
          </w:p>
        </w:tc>
        <w:tc>
          <w:tcPr>
            <w:tcW w:type="dxa" w:w="2484"/>
            <w:shd w:val="clear" w:fill="DDE8EF"/>
          </w:tcPr>
          <w:p>
            <w:r>
              <w:rPr>
                <w:b/>
                <w:sz w:val="18"/>
              </w:rPr>
              <w:t>Target / confirmed date</w:t>
            </w:r>
          </w:p>
        </w:tc>
        <w:tc>
          <w:tcPr>
            <w:tcW w:type="dxa" w:w="2484"/>
            <w:shd w:val="clear" w:fill="DDE8EF"/>
          </w:tcPr>
          <w:p>
            <w:r>
              <w:rPr>
                <w:b/>
                <w:sz w:val="18"/>
              </w:rPr>
              <w:t>Evidence</w:t>
            </w:r>
          </w:p>
        </w:tc>
      </w:tr>
      <w:tr>
        <w:tc>
          <w:tcPr>
            <w:tcW w:type="dxa" w:w="2484"/>
          </w:tcPr>
          <w:p>
            <w:r>
              <w:rPr>
                <w:sz w:val="18"/>
              </w:rPr>
              <w:t>Confirm debtor and proceeding</w:t>
            </w:r>
          </w:p>
        </w:tc>
        <w:tc>
          <w:tcPr>
            <w:tcW w:type="dxa" w:w="2484"/>
          </w:tcPr>
          <w:p>
            <w:r>
              <w:rPr>
                <w:sz w:val="18"/>
              </w:rPr>
              <w:t>[enter]</w:t>
            </w:r>
          </w:p>
        </w:tc>
        <w:tc>
          <w:tcPr>
            <w:tcW w:type="dxa" w:w="2484"/>
          </w:tcPr>
          <w:p>
            <w:r>
              <w:rPr>
                <w:sz w:val="18"/>
              </w:rPr>
              <w:t>[enter]</w:t>
            </w:r>
          </w:p>
        </w:tc>
        <w:tc>
          <w:tcPr>
            <w:tcW w:type="dxa" w:w="2484"/>
          </w:tcPr>
          <w:p>
            <w:r>
              <w:rPr>
                <w:sz w:val="18"/>
              </w:rPr>
              <w:t>[official record]</w:t>
            </w:r>
          </w:p>
        </w:tc>
      </w:tr>
      <w:tr>
        <w:tc>
          <w:tcPr>
            <w:tcW w:type="dxa" w:w="2484"/>
          </w:tcPr>
          <w:p>
            <w:r>
              <w:rPr>
                <w:sz w:val="18"/>
              </w:rPr>
              <w:t>Reconcile pre/post proceeding account</w:t>
            </w:r>
          </w:p>
        </w:tc>
        <w:tc>
          <w:tcPr>
            <w:tcW w:type="dxa" w:w="2484"/>
          </w:tcPr>
          <w:p>
            <w:r>
              <w:rPr>
                <w:sz w:val="18"/>
              </w:rPr>
              <w:t>[enter]</w:t>
            </w:r>
          </w:p>
        </w:tc>
        <w:tc>
          <w:tcPr>
            <w:tcW w:type="dxa" w:w="2484"/>
          </w:tcPr>
          <w:p>
            <w:r>
              <w:rPr>
                <w:sz w:val="18"/>
              </w:rPr>
              <w:t>[enter]</w:t>
            </w:r>
          </w:p>
        </w:tc>
        <w:tc>
          <w:tcPr>
            <w:tcW w:type="dxa" w:w="2484"/>
          </w:tcPr>
          <w:p>
            <w:r>
              <w:rPr>
                <w:sz w:val="18"/>
              </w:rPr>
              <w:t>[ledger version]</w:t>
            </w:r>
          </w:p>
        </w:tc>
      </w:tr>
      <w:tr>
        <w:tc>
          <w:tcPr>
            <w:tcW w:type="dxa" w:w="2484"/>
          </w:tcPr>
          <w:p>
            <w:r>
              <w:rPr>
                <w:sz w:val="18"/>
              </w:rPr>
              <w:t>Collect official form and instructions</w:t>
            </w:r>
          </w:p>
        </w:tc>
        <w:tc>
          <w:tcPr>
            <w:tcW w:type="dxa" w:w="2484"/>
          </w:tcPr>
          <w:p>
            <w:r>
              <w:rPr>
                <w:sz w:val="18"/>
              </w:rPr>
              <w:t>[enter]</w:t>
            </w:r>
          </w:p>
        </w:tc>
        <w:tc>
          <w:tcPr>
            <w:tcW w:type="dxa" w:w="2484"/>
          </w:tcPr>
          <w:p>
            <w:r>
              <w:rPr>
                <w:sz w:val="18"/>
              </w:rPr>
              <w:t>[enter]</w:t>
            </w:r>
          </w:p>
        </w:tc>
        <w:tc>
          <w:tcPr>
            <w:tcW w:type="dxa" w:w="2484"/>
          </w:tcPr>
          <w:p>
            <w:r>
              <w:rPr>
                <w:sz w:val="18"/>
              </w:rPr>
              <w:t>[source / Licensed Insolvency Trustee]</w:t>
            </w:r>
          </w:p>
        </w:tc>
      </w:tr>
      <w:tr>
        <w:tc>
          <w:tcPr>
            <w:tcW w:type="dxa" w:w="2484"/>
          </w:tcPr>
          <w:p>
            <w:r>
              <w:rPr>
                <w:sz w:val="18"/>
              </w:rPr>
              <w:t>Review local rights and court orders</w:t>
            </w:r>
          </w:p>
        </w:tc>
        <w:tc>
          <w:tcPr>
            <w:tcW w:type="dxa" w:w="2484"/>
          </w:tcPr>
          <w:p>
            <w:r>
              <w:rPr>
                <w:sz w:val="18"/>
              </w:rPr>
              <w:t>[adviser]</w:t>
            </w:r>
          </w:p>
        </w:tc>
        <w:tc>
          <w:tcPr>
            <w:tcW w:type="dxa" w:w="2484"/>
          </w:tcPr>
          <w:p>
            <w:r>
              <w:rPr>
                <w:sz w:val="18"/>
              </w:rPr>
              <w:t>[confirmed date]</w:t>
            </w:r>
          </w:p>
        </w:tc>
        <w:tc>
          <w:tcPr>
            <w:tcW w:type="dxa" w:w="2484"/>
          </w:tcPr>
          <w:p>
            <w:r>
              <w:rPr>
                <w:sz w:val="18"/>
              </w:rPr>
              <w:t>[review record]</w:t>
            </w:r>
          </w:p>
        </w:tc>
      </w:tr>
      <w:tr>
        <w:tc>
          <w:tcPr>
            <w:tcW w:type="dxa" w:w="2484"/>
          </w:tcPr>
          <w:p>
            <w:r>
              <w:rPr>
                <w:sz w:val="18"/>
              </w:rPr>
              <w:t>Prepare checked submission</w:t>
            </w:r>
          </w:p>
        </w:tc>
        <w:tc>
          <w:tcPr>
            <w:tcW w:type="dxa" w:w="2484"/>
          </w:tcPr>
          <w:p>
            <w:r>
              <w:rPr>
                <w:sz w:val="18"/>
              </w:rPr>
              <w:t>[enter]</w:t>
            </w:r>
          </w:p>
        </w:tc>
        <w:tc>
          <w:tcPr>
            <w:tcW w:type="dxa" w:w="2484"/>
          </w:tcPr>
          <w:p>
            <w:r>
              <w:rPr>
                <w:sz w:val="18"/>
              </w:rPr>
              <w:t>[confirmed date]</w:t>
            </w:r>
          </w:p>
        </w:tc>
        <w:tc>
          <w:tcPr>
            <w:tcW w:type="dxa" w:w="2484"/>
          </w:tcPr>
          <w:p>
            <w:r>
              <w:rPr>
                <w:sz w:val="18"/>
              </w:rPr>
              <w:t>[form and attachments]</w:t>
            </w:r>
          </w:p>
        </w:tc>
      </w:tr>
    </w:tbl>
    <w:p/>
    <w:p>
      <w:r>
        <w:t>Flag uncertainty in the earliest relevant legal date before routine administrative work. Do not wait for a distribution estimate before seeking advice about separate construction rights.</w:t>
      </w:r>
    </w:p>
    <w:p>
      <w:r>
        <w:br w:type="page"/>
      </w:r>
    </w:p>
    <w:p>
      <w:pPr>
        <w:pStyle w:val="Heading1"/>
      </w:pPr>
      <w:r>
        <w:t>Monitor the proceeding and close actions</w:t>
      </w:r>
    </w:p>
    <w:tbl>
      <w:tblPr>
        <w:tblStyle w:val="TableGrid"/>
        <w:tblW w:type="auto" w:w="0"/>
        <w:tblLook w:firstColumn="1" w:firstRow="1" w:lastColumn="0" w:lastRow="0" w:noHBand="0" w:noVBand="1" w:val="04A0"/>
      </w:tblPr>
      <w:tblGrid>
        <w:gridCol w:w="4968"/>
        <w:gridCol w:w="4968"/>
      </w:tblGrid>
      <w:tr>
        <w:trPr>
          <w:tblHeader/>
        </w:trPr>
        <w:tc>
          <w:tcPr>
            <w:tcW w:type="dxa" w:w="4968"/>
            <w:shd w:val="clear" w:fill="DDE8EF"/>
          </w:tcPr>
          <w:p>
            <w:r>
              <w:rPr>
                <w:b/>
                <w:sz w:val="18"/>
              </w:rPr>
              <w:t>Event</w:t>
            </w:r>
          </w:p>
        </w:tc>
        <w:tc>
          <w:tcPr>
            <w:tcW w:type="dxa" w:w="4968"/>
            <w:shd w:val="clear" w:fill="DDE8EF"/>
          </w:tcPr>
          <w:p>
            <w:r>
              <w:rPr>
                <w:b/>
                <w:sz w:val="18"/>
              </w:rPr>
              <w:t>Required follow-up</w:t>
            </w:r>
          </w:p>
        </w:tc>
      </w:tr>
      <w:tr>
        <w:tc>
          <w:tcPr>
            <w:tcW w:type="dxa" w:w="4968"/>
          </w:tcPr>
          <w:p>
            <w:r>
              <w:rPr>
                <w:sz w:val="18"/>
              </w:rPr>
              <w:t>Licensed Insolvency Trustee requests more documents</w:t>
            </w:r>
          </w:p>
        </w:tc>
        <w:tc>
          <w:tcPr>
            <w:tcW w:type="dxa" w:w="4968"/>
          </w:tcPr>
          <w:p>
            <w:r>
              <w:rPr>
                <w:sz w:val="18"/>
              </w:rPr>
              <w:t>Log the request, confirm the response date and assign a preparer.</w:t>
            </w:r>
          </w:p>
        </w:tc>
      </w:tr>
      <w:tr>
        <w:tc>
          <w:tcPr>
            <w:tcW w:type="dxa" w:w="4968"/>
          </w:tcPr>
          <w:p>
            <w:r>
              <w:rPr>
                <w:sz w:val="18"/>
              </w:rPr>
              <w:t>Claim amount or status questioned</w:t>
            </w:r>
          </w:p>
        </w:tc>
        <w:tc>
          <w:tcPr>
            <w:tcW w:type="dxa" w:w="4968"/>
          </w:tcPr>
          <w:p>
            <w:r>
              <w:rPr>
                <w:sz w:val="18"/>
              </w:rPr>
              <w:t>Retain the complete notice and seek prompt advice; do not invent an appeal period.</w:t>
            </w:r>
          </w:p>
        </w:tc>
      </w:tr>
      <w:tr>
        <w:tc>
          <w:tcPr>
            <w:tcW w:type="dxa" w:w="4968"/>
          </w:tcPr>
          <w:p>
            <w:r>
              <w:rPr>
                <w:sz w:val="18"/>
              </w:rPr>
              <w:t>Distribution or other receipt arrives</w:t>
            </w:r>
          </w:p>
        </w:tc>
        <w:tc>
          <w:tcPr>
            <w:tcW w:type="dxa" w:w="4968"/>
          </w:tcPr>
          <w:p>
            <w:r>
              <w:rPr>
                <w:sz w:val="18"/>
              </w:rPr>
              <w:t>Verify bank receipt, allocate it and update overlapping recovery records.</w:t>
            </w:r>
          </w:p>
        </w:tc>
      </w:tr>
      <w:tr>
        <w:tc>
          <w:tcPr>
            <w:tcW w:type="dxa" w:w="4968"/>
          </w:tcPr>
          <w:p>
            <w:r>
              <w:rPr>
                <w:sz w:val="18"/>
              </w:rPr>
              <w:t>New court order or proceeding change</w:t>
            </w:r>
          </w:p>
        </w:tc>
        <w:tc>
          <w:tcPr>
            <w:tcW w:type="dxa" w:w="4968"/>
          </w:tcPr>
          <w:p>
            <w:r>
              <w:rPr>
                <w:sz w:val="18"/>
              </w:rPr>
              <w:t>Preserve it and obtain advice about its effect.</w:t>
            </w:r>
          </w:p>
        </w:tc>
      </w:tr>
      <w:tr>
        <w:tc>
          <w:tcPr>
            <w:tcW w:type="dxa" w:w="4968"/>
          </w:tcPr>
          <w:p>
            <w:r>
              <w:rPr>
                <w:sz w:val="18"/>
              </w:rPr>
              <w:t>No response</w:t>
            </w:r>
          </w:p>
        </w:tc>
        <w:tc>
          <w:tcPr>
            <w:tcW w:type="dxa" w:w="4968"/>
          </w:tcPr>
          <w:p>
            <w:r>
              <w:rPr>
                <w:sz w:val="18"/>
              </w:rPr>
              <w:t>Confirm delivery and follow up through verified contacts.</w:t>
            </w:r>
          </w:p>
        </w:tc>
      </w:tr>
    </w:tbl>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Date</w:t>
            </w:r>
          </w:p>
        </w:tc>
        <w:tc>
          <w:tcPr>
            <w:tcW w:type="dxa" w:w="2484"/>
            <w:shd w:val="clear" w:fill="DDE8EF"/>
          </w:tcPr>
          <w:p>
            <w:r>
              <w:rPr>
                <w:b/>
                <w:sz w:val="18"/>
              </w:rPr>
              <w:t>Action / contact</w:t>
            </w:r>
          </w:p>
        </w:tc>
        <w:tc>
          <w:tcPr>
            <w:tcW w:type="dxa" w:w="2484"/>
            <w:shd w:val="clear" w:fill="DDE8EF"/>
          </w:tcPr>
          <w:p>
            <w:r>
              <w:rPr>
                <w:b/>
                <w:sz w:val="18"/>
              </w:rPr>
              <w:t>Outcome</w:t>
            </w:r>
          </w:p>
        </w:tc>
        <w:tc>
          <w:tcPr>
            <w:tcW w:type="dxa" w:w="2484"/>
            <w:shd w:val="clear" w:fill="DDE8EF"/>
          </w:tcPr>
          <w:p>
            <w:r>
              <w:rPr>
                <w:b/>
                <w:sz w:val="18"/>
              </w:rPr>
              <w:t>Next owner / date</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Unresolved issues and adviser: </w:t>
      </w:r>
      <w:r>
        <w:t>[enter here]</w:t>
      </w:r>
    </w:p>
    <w:p>
      <w:r>
        <w:rPr>
          <w:b/>
        </w:rPr>
        <w:t xml:space="preserve">Receipts recorded and balance updated: </w:t>
      </w:r>
      <w:r>
        <w:t>[enter here]</w:t>
      </w:r>
    </w:p>
    <w:p>
      <w:r>
        <w:rPr>
          <w:b/>
        </w:rPr>
        <w:t xml:space="preserve">Outstanding official notices: </w:t>
      </w:r>
      <w:r>
        <w:t>[enter here]</w:t>
      </w:r>
    </w:p>
    <w:p>
      <w:r>
        <w:rPr>
          <w:b/>
        </w:rPr>
        <w:t xml:space="preserve">Closure decision and retained record location: </w:t>
      </w:r>
      <w:r>
        <w:t>[enter here]</w:t>
      </w:r>
    </w:p>
    <w:p>
      <w:r>
        <w:t>Do not promise a dividend, priority or full recovery. Keep submitted versions and acknowledgements.</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EP02-11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Creditor recovery action plan</dc:title>
  <dc:subject>EP02-11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