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Deposit terms review</w:t>
      </w:r>
    </w:p>
    <w:p>
      <w:r>
        <w:rPr>
          <w:color w:val="55626B"/>
        </w:rPr>
        <w:t>General information to help you organise your paperwork. Not legal advice.</w:t>
      </w:r>
    </w:p>
    <w:p>
      <w:pPr>
        <w:pStyle w:val="Heading1"/>
      </w:pPr>
      <w:r>
        <w:t>Read the deposit term in context</w:t>
      </w:r>
    </w:p>
    <w:p>
      <w:r>
        <w:t>Collect the entire agreement and sales history. Identify the purpose of the payment, the obligations it supports and whether consumer rules may apply. The words deposit, advance, retainer and nonrefundable are facts to review, not automatic legal outcomes.</w:t>
      </w:r>
    </w:p>
    <w:p>
      <w:r>
        <w:rPr>
          <w:b/>
        </w:rPr>
        <w:t xml:space="preserve">Project parties and jurisdiction: </w:t>
      </w:r>
      <w:r>
        <w:t>[enter here]</w:t>
      </w:r>
    </w:p>
    <w:p>
      <w:r>
        <w:rPr>
          <w:b/>
        </w:rPr>
        <w:t xml:space="preserve">Residential or commercial purpose: </w:t>
      </w:r>
      <w:r>
        <w:t>[enter here]</w:t>
      </w:r>
    </w:p>
    <w:p>
      <w:r>
        <w:rPr>
          <w:b/>
        </w:rPr>
        <w:t xml:space="preserve">Contract date formation channel and location: </w:t>
      </w:r>
      <w:r>
        <w:t>[enter here]</w:t>
      </w:r>
    </w:p>
    <w:p>
      <w:r>
        <w:rPr>
          <w:b/>
        </w:rPr>
        <w:t xml:space="preserve">Exact deposit clause and related definitions: </w:t>
      </w:r>
      <w:r>
        <w:t>[enter here]</w:t>
      </w:r>
    </w:p>
    <w:p>
      <w:r>
        <w:rPr>
          <w:b/>
        </w:rPr>
        <w:t xml:space="preserve">Deposit amount and payment schedule: </w:t>
      </w:r>
      <w:r>
        <w:t>[enter here]</w:t>
      </w:r>
    </w:p>
    <w:p>
      <w:r>
        <w:rPr>
          <w:b/>
        </w:rPr>
        <w:t xml:space="preserve">Cancellation refund and default provisions: </w:t>
      </w:r>
      <w:r>
        <w:t>[enter here]</w:t>
      </w:r>
    </w:p>
    <w:p>
      <w:r>
        <w:rPr>
          <w:b/>
        </w:rPr>
        <w:t xml:space="preserve">Contract copy delivered when and how: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Record</w:t>
            </w:r>
          </w:p>
        </w:tc>
        <w:tc>
          <w:tcPr>
            <w:tcW w:type="dxa" w:w="3312"/>
            <w:shd w:val="clear" w:fill="DDE8EF"/>
          </w:tcPr>
          <w:p>
            <w:r>
              <w:rPr>
                <w:b/>
                <w:sz w:val="18"/>
              </w:rPr>
              <w:t>Evidence reference</w:t>
            </w:r>
          </w:p>
        </w:tc>
        <w:tc>
          <w:tcPr>
            <w:tcW w:type="dxa" w:w="3312"/>
            <w:shd w:val="clear" w:fill="DDE8EF"/>
          </w:tcPr>
          <w:p>
            <w:r>
              <w:rPr>
                <w:b/>
                <w:sz w:val="18"/>
              </w:rPr>
              <w:t>Unresolved point</w:t>
            </w:r>
          </w:p>
        </w:tc>
      </w:tr>
      <w:tr>
        <w:tc>
          <w:tcPr>
            <w:tcW w:type="dxa" w:w="3312"/>
          </w:tcPr>
          <w:p>
            <w:r>
              <w:rPr>
                <w:sz w:val="18"/>
              </w:rPr>
              <w:t>Sales representation</w:t>
            </w:r>
          </w:p>
        </w:tc>
        <w:tc>
          <w:tcPr>
            <w:tcW w:type="dxa" w:w="3312"/>
          </w:tcPr>
          <w:p>
            <w:r>
              <w:rPr>
                <w:sz w:val="18"/>
              </w:rPr>
              <w:t>[enter]</w:t>
            </w:r>
          </w:p>
        </w:tc>
        <w:tc>
          <w:tcPr>
            <w:tcW w:type="dxa" w:w="3312"/>
          </w:tcPr>
          <w:p>
            <w:r>
              <w:rPr>
                <w:sz w:val="18"/>
              </w:rPr>
              <w:t>[enter]</w:t>
            </w:r>
          </w:p>
        </w:tc>
      </w:tr>
      <w:tr>
        <w:tc>
          <w:tcPr>
            <w:tcW w:type="dxa" w:w="3312"/>
          </w:tcPr>
          <w:p>
            <w:r>
              <w:rPr>
                <w:sz w:val="18"/>
              </w:rPr>
              <w:t>Signed terms</w:t>
            </w:r>
          </w:p>
        </w:tc>
        <w:tc>
          <w:tcPr>
            <w:tcW w:type="dxa" w:w="3312"/>
          </w:tcPr>
          <w:p>
            <w:r>
              <w:rPr>
                <w:sz w:val="18"/>
              </w:rPr>
              <w:t>[enter]</w:t>
            </w:r>
          </w:p>
        </w:tc>
        <w:tc>
          <w:tcPr>
            <w:tcW w:type="dxa" w:w="3312"/>
          </w:tcPr>
          <w:p>
            <w:r>
              <w:rPr>
                <w:sz w:val="18"/>
              </w:rPr>
              <w:t>[enter]</w:t>
            </w:r>
          </w:p>
        </w:tc>
      </w:tr>
      <w:tr>
        <w:tc>
          <w:tcPr>
            <w:tcW w:type="dxa" w:w="3312"/>
          </w:tcPr>
          <w:p>
            <w:r>
              <w:rPr>
                <w:sz w:val="18"/>
              </w:rPr>
              <w:t>Receipt and allocation</w:t>
            </w:r>
          </w:p>
        </w:tc>
        <w:tc>
          <w:tcPr>
            <w:tcW w:type="dxa" w:w="3312"/>
          </w:tcPr>
          <w:p>
            <w:r>
              <w:rPr>
                <w:sz w:val="18"/>
              </w:rPr>
              <w:t>[enter]</w:t>
            </w:r>
          </w:p>
        </w:tc>
        <w:tc>
          <w:tcPr>
            <w:tcW w:type="dxa" w:w="3312"/>
          </w:tcPr>
          <w:p>
            <w:r>
              <w:rPr>
                <w:sz w:val="18"/>
              </w:rPr>
              <w:t>[enter]</w:t>
            </w:r>
          </w:p>
        </w:tc>
      </w:tr>
      <w:tr>
        <w:tc>
          <w:tcPr>
            <w:tcW w:type="dxa" w:w="3312"/>
          </w:tcPr>
          <w:p>
            <w:r>
              <w:rPr>
                <w:sz w:val="18"/>
              </w:rPr>
              <w:t>Later variation</w:t>
            </w:r>
          </w:p>
        </w:tc>
        <w:tc>
          <w:tcPr>
            <w:tcW w:type="dxa" w:w="3312"/>
          </w:tcPr>
          <w:p>
            <w:r>
              <w:rPr>
                <w:sz w:val="18"/>
              </w:rPr>
              <w:t>[enter]</w:t>
            </w:r>
          </w:p>
        </w:tc>
        <w:tc>
          <w:tcPr>
            <w:tcW w:type="dxa" w:w="3312"/>
          </w:tcPr>
          <w:p>
            <w:r>
              <w:rPr>
                <w:sz w:val="18"/>
              </w:rPr>
              <w:t>[enter]</w:t>
            </w:r>
          </w:p>
        </w:tc>
      </w:tr>
    </w:tbl>
    <w:p/>
    <w:p>
      <w:r>
        <w:br w:type="page"/>
      </w:r>
    </w:p>
    <w:p>
      <w:pPr>
        <w:pStyle w:val="Heading1"/>
      </w:pPr>
      <w:r>
        <w:t>Record the legal application review</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Question</w:t>
            </w:r>
          </w:p>
        </w:tc>
        <w:tc>
          <w:tcPr>
            <w:tcW w:type="dxa" w:w="3312"/>
            <w:shd w:val="clear" w:fill="DDE8EF"/>
          </w:tcPr>
          <w:p>
            <w:r>
              <w:rPr>
                <w:b/>
                <w:sz w:val="18"/>
              </w:rPr>
              <w:t>Reviewer conclusion</w:t>
            </w:r>
          </w:p>
        </w:tc>
        <w:tc>
          <w:tcPr>
            <w:tcW w:type="dxa" w:w="3312"/>
            <w:shd w:val="clear" w:fill="DDE8EF"/>
          </w:tcPr>
          <w:p>
            <w:r>
              <w:rPr>
                <w:b/>
                <w:sz w:val="18"/>
              </w:rPr>
              <w:t>Source and facts</w:t>
            </w:r>
          </w:p>
        </w:tc>
      </w:tr>
      <w:tr>
        <w:tc>
          <w:tcPr>
            <w:tcW w:type="dxa" w:w="3312"/>
          </w:tcPr>
          <w:p>
            <w:r>
              <w:rPr>
                <w:sz w:val="18"/>
              </w:rPr>
              <w:t>Mandatory consumer rules</w:t>
            </w:r>
          </w:p>
        </w:tc>
        <w:tc>
          <w:tcPr>
            <w:tcW w:type="dxa" w:w="3312"/>
          </w:tcPr>
          <w:p>
            <w:r>
              <w:rPr>
                <w:sz w:val="18"/>
              </w:rPr>
              <w:t>[to check]</w:t>
            </w:r>
          </w:p>
        </w:tc>
        <w:tc>
          <w:tcPr>
            <w:tcW w:type="dxa" w:w="3312"/>
          </w:tcPr>
          <w:p>
            <w:r>
              <w:rPr>
                <w:sz w:val="18"/>
              </w:rPr>
              <w:t>[enter]</w:t>
            </w:r>
          </w:p>
        </w:tc>
      </w:tr>
      <w:tr>
        <w:tc>
          <w:tcPr>
            <w:tcW w:type="dxa" w:w="3312"/>
          </w:tcPr>
          <w:p>
            <w:r>
              <w:rPr>
                <w:sz w:val="18"/>
              </w:rPr>
              <w:t>Effect of deposit wording</w:t>
            </w:r>
          </w:p>
        </w:tc>
        <w:tc>
          <w:tcPr>
            <w:tcW w:type="dxa" w:w="3312"/>
          </w:tcPr>
          <w:p>
            <w:r>
              <w:rPr>
                <w:sz w:val="18"/>
              </w:rPr>
              <w:t>[to check]</w:t>
            </w:r>
          </w:p>
        </w:tc>
        <w:tc>
          <w:tcPr>
            <w:tcW w:type="dxa" w:w="3312"/>
          </w:tcPr>
          <w:p>
            <w:r>
              <w:rPr>
                <w:sz w:val="18"/>
              </w:rPr>
              <w:t>[enter]</w:t>
            </w:r>
          </w:p>
        </w:tc>
      </w:tr>
      <w:tr>
        <w:tc>
          <w:tcPr>
            <w:tcW w:type="dxa" w:w="3312"/>
          </w:tcPr>
          <w:p>
            <w:r>
              <w:rPr>
                <w:sz w:val="18"/>
              </w:rPr>
              <w:t>Permitted deduction categories</w:t>
            </w:r>
          </w:p>
        </w:tc>
        <w:tc>
          <w:tcPr>
            <w:tcW w:type="dxa" w:w="3312"/>
          </w:tcPr>
          <w:p>
            <w:r>
              <w:rPr>
                <w:sz w:val="18"/>
              </w:rPr>
              <w:t>[to check]</w:t>
            </w:r>
          </w:p>
        </w:tc>
        <w:tc>
          <w:tcPr>
            <w:tcW w:type="dxa" w:w="3312"/>
          </w:tcPr>
          <w:p>
            <w:r>
              <w:rPr>
                <w:sz w:val="18"/>
              </w:rPr>
              <w:t>[enter]</w:t>
            </w:r>
          </w:p>
        </w:tc>
      </w:tr>
      <w:tr>
        <w:tc>
          <w:tcPr>
            <w:tcW w:type="dxa" w:w="3312"/>
          </w:tcPr>
          <w:p>
            <w:r>
              <w:rPr>
                <w:sz w:val="18"/>
              </w:rPr>
              <w:t>Refund trigger and timing</w:t>
            </w:r>
          </w:p>
        </w:tc>
        <w:tc>
          <w:tcPr>
            <w:tcW w:type="dxa" w:w="3312"/>
          </w:tcPr>
          <w:p>
            <w:r>
              <w:rPr>
                <w:sz w:val="18"/>
              </w:rPr>
              <w:t>[to check]</w:t>
            </w:r>
          </w:p>
        </w:tc>
        <w:tc>
          <w:tcPr>
            <w:tcW w:type="dxa" w:w="3312"/>
          </w:tcPr>
          <w:p>
            <w:r>
              <w:rPr>
                <w:sz w:val="18"/>
              </w:rPr>
              <w:t>[enter]</w:t>
            </w:r>
          </w:p>
        </w:tc>
      </w:tr>
      <w:tr>
        <w:tc>
          <w:tcPr>
            <w:tcW w:type="dxa" w:w="3312"/>
          </w:tcPr>
          <w:p>
            <w:r>
              <w:rPr>
                <w:sz w:val="18"/>
              </w:rPr>
              <w:t>Trust or segregation requirements</w:t>
            </w:r>
          </w:p>
        </w:tc>
        <w:tc>
          <w:tcPr>
            <w:tcW w:type="dxa" w:w="3312"/>
          </w:tcPr>
          <w:p>
            <w:r>
              <w:rPr>
                <w:sz w:val="18"/>
              </w:rPr>
              <w:t>[to check]</w:t>
            </w:r>
          </w:p>
        </w:tc>
        <w:tc>
          <w:tcPr>
            <w:tcW w:type="dxa" w:w="3312"/>
          </w:tcPr>
          <w:p>
            <w:r>
              <w:rPr>
                <w:sz w:val="18"/>
              </w:rPr>
              <w:t>[enter]</w:t>
            </w:r>
          </w:p>
        </w:tc>
      </w:tr>
    </w:tbl>
    <w:p/>
    <w:p>
      <w:r>
        <w:t>Fictional issue: the quotation says deposit, the signed agreement says advance against milestones, and an email describes it as nonrefundable. Preserve all three records and ask the reviewer to resolve the conflict.</w:t>
      </w:r>
    </w:p>
    <w:p>
      <w:r>
        <w:rPr>
          <w:b/>
        </w:rPr>
        <w:t xml:space="preserve">Reviewer name jurisdiction and date: </w:t>
      </w:r>
      <w:r>
        <w:t>[enter here]</w:t>
      </w:r>
    </w:p>
    <w:p>
      <w:r>
        <w:rPr>
          <w:b/>
        </w:rPr>
        <w:t xml:space="preserve">Remaining facts or documents: </w:t>
      </w:r>
      <w:r>
        <w:t>[enter here]</w:t>
      </w:r>
    </w:p>
    <w:p>
      <w:r>
        <w:rPr>
          <w:b/>
        </w:rPr>
        <w:t xml:space="preserve">Authorized interim action: </w:t>
      </w:r>
      <w:r>
        <w:t>[enter here]</w:t>
      </w:r>
    </w:p>
    <w:p>
      <w:r>
        <w:rPr>
          <w:b/>
        </w:rPr>
        <w:t xml:space="preserve">Next review trigger: </w:t>
      </w:r>
      <w:r>
        <w:t>[enter here]</w:t>
      </w:r>
    </w:p>
    <w:p>
      <w:r>
        <w:t>No default cancellation period or permitted retention percentage is supplied. Unverified wording must not be presented as legally approved.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EP08-02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Deposit terms review</dc:title>
  <dc:subject>EP08-02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