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cancellation final account</w:t>
      </w:r>
    </w:p>
    <w:p>
      <w:r>
        <w:rPr>
          <w:color w:val="55626B"/>
        </w:rPr>
        <w:t>General information to help you organise your paperwork. Not legal advice.</w:t>
      </w:r>
    </w:p>
    <w:p>
      <w:pPr>
        <w:pStyle w:val="Heading1"/>
      </w:pPr>
      <w:r>
        <w:t>Prepare the reconciled statement</w:t>
      </w:r>
    </w:p>
    <w:p>
      <w:r>
        <w:t>Use with the companion workbook after the source registers are reconciled. This statement records the reviewed account; it is not an automatic claim for every recorded cost. Each amount must have a stable source ID and a stated basis for inclusion.</w:t>
      </w:r>
    </w:p>
    <w:p>
      <w:r>
        <w:rPr>
          <w:b/>
        </w:rPr>
        <w:t xml:space="preserve">Project contract and parties: </w:t>
      </w:r>
      <w:r>
        <w:t>[enter here]</w:t>
      </w:r>
    </w:p>
    <w:p>
      <w:r>
        <w:rPr>
          <w:b/>
        </w:rPr>
        <w:t xml:space="preserve">Cancellation event and reviewed effective date: </w:t>
      </w:r>
      <w:r>
        <w:t>[enter here]</w:t>
      </w:r>
    </w:p>
    <w:p>
      <w:r>
        <w:rPr>
          <w:b/>
        </w:rPr>
        <w:t xml:space="preserve">Statement date version and prepared by: </w:t>
      </w:r>
      <w:r>
        <w:t>[enter here]</w:t>
      </w:r>
    </w:p>
    <w:p>
      <w:r>
        <w:rPr>
          <w:b/>
        </w:rPr>
        <w:t xml:space="preserve">Valuation and tax basis: </w:t>
      </w:r>
      <w:r>
        <w:t>[enter here]</w:t>
      </w:r>
    </w:p>
    <w:p>
      <w:r>
        <w:rPr>
          <w:b/>
        </w:rPr>
        <w:t xml:space="preserve">Reviewer and authority for included items: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Account category</w:t>
            </w:r>
          </w:p>
        </w:tc>
        <w:tc>
          <w:tcPr>
            <w:tcW w:type="dxa" w:w="3312"/>
            <w:shd w:val="clear" w:fill="DDE8EF"/>
          </w:tcPr>
          <w:p>
            <w:r>
              <w:rPr>
                <w:b/>
                <w:sz w:val="18"/>
              </w:rPr>
              <w:t>CAD amount</w:t>
            </w:r>
          </w:p>
        </w:tc>
        <w:tc>
          <w:tcPr>
            <w:tcW w:type="dxa" w:w="3312"/>
            <w:shd w:val="clear" w:fill="DDE8EF"/>
          </w:tcPr>
          <w:p>
            <w:r>
              <w:rPr>
                <w:b/>
                <w:sz w:val="18"/>
              </w:rPr>
              <w:t>Source and inclusion basis</w:t>
            </w:r>
          </w:p>
        </w:tc>
      </w:tr>
      <w:tr>
        <w:tc>
          <w:tcPr>
            <w:tcW w:type="dxa" w:w="3312"/>
          </w:tcPr>
          <w:p>
            <w:r>
              <w:rPr>
                <w:sz w:val="18"/>
              </w:rPr>
              <w:t>Completed work</w:t>
            </w:r>
          </w:p>
        </w:tc>
        <w:tc>
          <w:tcPr>
            <w:tcW w:type="dxa" w:w="3312"/>
          </w:tcPr>
          <w:p>
            <w:r>
              <w:rPr>
                <w:sz w:val="18"/>
              </w:rPr>
              <w:t>[enter]</w:t>
            </w:r>
          </w:p>
        </w:tc>
        <w:tc>
          <w:tcPr>
            <w:tcW w:type="dxa" w:w="3312"/>
          </w:tcPr>
          <w:p>
            <w:r>
              <w:rPr>
                <w:sz w:val="18"/>
              </w:rPr>
              <w:t>[enter]</w:t>
            </w:r>
          </w:p>
        </w:tc>
      </w:tr>
      <w:tr>
        <w:tc>
          <w:tcPr>
            <w:tcW w:type="dxa" w:w="3312"/>
          </w:tcPr>
          <w:p>
            <w:r>
              <w:rPr>
                <w:sz w:val="18"/>
              </w:rPr>
              <w:t>Uninstalled materials net recovery</w:t>
            </w:r>
          </w:p>
        </w:tc>
        <w:tc>
          <w:tcPr>
            <w:tcW w:type="dxa" w:w="3312"/>
          </w:tcPr>
          <w:p>
            <w:r>
              <w:rPr>
                <w:sz w:val="18"/>
              </w:rPr>
              <w:t>[enter]</w:t>
            </w:r>
          </w:p>
        </w:tc>
        <w:tc>
          <w:tcPr>
            <w:tcW w:type="dxa" w:w="3312"/>
          </w:tcPr>
          <w:p>
            <w:r>
              <w:rPr>
                <w:sz w:val="18"/>
              </w:rPr>
              <w:t>[enter]</w:t>
            </w:r>
          </w:p>
        </w:tc>
      </w:tr>
      <w:tr>
        <w:tc>
          <w:tcPr>
            <w:tcW w:type="dxa" w:w="3312"/>
          </w:tcPr>
          <w:p>
            <w:r>
              <w:rPr>
                <w:sz w:val="18"/>
              </w:rPr>
              <w:t>Remaining trade commitments</w:t>
            </w:r>
          </w:p>
        </w:tc>
        <w:tc>
          <w:tcPr>
            <w:tcW w:type="dxa" w:w="3312"/>
          </w:tcPr>
          <w:p>
            <w:r>
              <w:rPr>
                <w:sz w:val="18"/>
              </w:rPr>
              <w:t>[enter]</w:t>
            </w:r>
          </w:p>
        </w:tc>
        <w:tc>
          <w:tcPr>
            <w:tcW w:type="dxa" w:w="3312"/>
          </w:tcPr>
          <w:p>
            <w:r>
              <w:rPr>
                <w:sz w:val="18"/>
              </w:rPr>
              <w:t>[enter]</w:t>
            </w:r>
          </w:p>
        </w:tc>
      </w:tr>
      <w:tr>
        <w:tc>
          <w:tcPr>
            <w:tcW w:type="dxa" w:w="3312"/>
          </w:tcPr>
          <w:p>
            <w:r>
              <w:rPr>
                <w:sz w:val="18"/>
              </w:rPr>
              <w:t>Incremental exit costs</w:t>
            </w:r>
          </w:p>
        </w:tc>
        <w:tc>
          <w:tcPr>
            <w:tcW w:type="dxa" w:w="3312"/>
          </w:tcPr>
          <w:p>
            <w:r>
              <w:rPr>
                <w:sz w:val="18"/>
              </w:rPr>
              <w:t>[enter]</w:t>
            </w:r>
          </w:p>
        </w:tc>
        <w:tc>
          <w:tcPr>
            <w:tcW w:type="dxa" w:w="3312"/>
          </w:tcPr>
          <w:p>
            <w:r>
              <w:rPr>
                <w:sz w:val="18"/>
              </w:rPr>
              <w:t>[enter]</w:t>
            </w:r>
          </w:p>
        </w:tc>
      </w:tr>
      <w:tr>
        <w:tc>
          <w:tcPr>
            <w:tcW w:type="dxa" w:w="3312"/>
          </w:tcPr>
          <w:p>
            <w:r>
              <w:rPr>
                <w:sz w:val="18"/>
              </w:rPr>
              <w:t>Separate credits or adjustments</w:t>
            </w:r>
          </w:p>
        </w:tc>
        <w:tc>
          <w:tcPr>
            <w:tcW w:type="dxa" w:w="3312"/>
          </w:tcPr>
          <w:p>
            <w:r>
              <w:rPr>
                <w:sz w:val="18"/>
              </w:rPr>
              <w:t>[enter]</w:t>
            </w:r>
          </w:p>
        </w:tc>
        <w:tc>
          <w:tcPr>
            <w:tcW w:type="dxa" w:w="3312"/>
          </w:tcPr>
          <w:p>
            <w:r>
              <w:rPr>
                <w:sz w:val="18"/>
              </w:rPr>
              <w:t>[enter]</w:t>
            </w:r>
          </w:p>
        </w:tc>
      </w:tr>
    </w:tbl>
    <w:p/>
    <w:p>
      <w:r>
        <w:t>Do not add purchase cost already contained in completed work. Carry mitigation into the source net amount once. Estimates and disputed exclusions belong in the attached schedule, not silently in the agreed amount.</w:t>
      </w:r>
    </w:p>
    <w:p>
      <w:r>
        <w:br w:type="page"/>
      </w:r>
    </w:p>
    <w:p>
      <w:pPr>
        <w:pStyle w:val="Heading1"/>
      </w:pPr>
      <w:r>
        <w:t>Reconcile receipts and communicate the balance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Reconciliation</w:t>
            </w:r>
          </w:p>
        </w:tc>
        <w:tc>
          <w:tcPr>
            <w:tcW w:type="dxa" w:w="3312"/>
            <w:shd w:val="clear" w:fill="DDE8EF"/>
          </w:tcPr>
          <w:p>
            <w:r>
              <w:rPr>
                <w:b/>
                <w:sz w:val="18"/>
              </w:rPr>
              <w:t>CAD amount</w:t>
            </w:r>
          </w:p>
        </w:tc>
        <w:tc>
          <w:tcPr>
            <w:tcW w:type="dxa" w:w="3312"/>
            <w:shd w:val="clear" w:fill="DDE8EF"/>
          </w:tcPr>
          <w:p>
            <w:r>
              <w:rPr>
                <w:b/>
                <w:sz w:val="18"/>
              </w:rPr>
              <w:t>Evidence</w:t>
            </w:r>
          </w:p>
        </w:tc>
      </w:tr>
      <w:tr>
        <w:tc>
          <w:tcPr>
            <w:tcW w:type="dxa" w:w="3312"/>
          </w:tcPr>
          <w:p>
            <w:r>
              <w:rPr>
                <w:sz w:val="18"/>
              </w:rPr>
              <w:t>Included charges including reviewed tax</w:t>
            </w:r>
          </w:p>
        </w:tc>
        <w:tc>
          <w:tcPr>
            <w:tcW w:type="dxa" w:w="3312"/>
          </w:tcPr>
          <w:p>
            <w:r>
              <w:rPr>
                <w:sz w:val="18"/>
              </w:rPr>
              <w:t>[enter]</w:t>
            </w:r>
          </w:p>
        </w:tc>
        <w:tc>
          <w:tcPr>
            <w:tcW w:type="dxa" w:w="3312"/>
          </w:tcPr>
          <w:p>
            <w:r>
              <w:rPr>
                <w:sz w:val="18"/>
              </w:rPr>
              <w:t>[enter]</w:t>
            </w:r>
          </w:p>
        </w:tc>
      </w:tr>
      <w:tr>
        <w:tc>
          <w:tcPr>
            <w:tcW w:type="dxa" w:w="3312"/>
          </w:tcPr>
          <w:p>
            <w:r>
              <w:rPr>
                <w:sz w:val="18"/>
              </w:rPr>
              <w:t>Client receipts including deposit</w:t>
            </w:r>
          </w:p>
        </w:tc>
        <w:tc>
          <w:tcPr>
            <w:tcW w:type="dxa" w:w="3312"/>
          </w:tcPr>
          <w:p>
            <w:r>
              <w:rPr>
                <w:sz w:val="18"/>
              </w:rPr>
              <w:t>[enter]</w:t>
            </w:r>
          </w:p>
        </w:tc>
        <w:tc>
          <w:tcPr>
            <w:tcW w:type="dxa" w:w="3312"/>
          </w:tcPr>
          <w:p>
            <w:r>
              <w:rPr>
                <w:sz w:val="18"/>
              </w:rPr>
              <w:t>[enter]</w:t>
            </w:r>
          </w:p>
        </w:tc>
      </w:tr>
      <w:tr>
        <w:tc>
          <w:tcPr>
            <w:tcW w:type="dxa" w:w="3312"/>
          </w:tcPr>
          <w:p>
            <w:r>
              <w:rPr>
                <w:sz w:val="18"/>
              </w:rPr>
              <w:t>Refunds already paid</w:t>
            </w:r>
          </w:p>
        </w:tc>
        <w:tc>
          <w:tcPr>
            <w:tcW w:type="dxa" w:w="3312"/>
          </w:tcPr>
          <w:p>
            <w:r>
              <w:rPr>
                <w:sz w:val="18"/>
              </w:rPr>
              <w:t>[enter]</w:t>
            </w:r>
          </w:p>
        </w:tc>
        <w:tc>
          <w:tcPr>
            <w:tcW w:type="dxa" w:w="3312"/>
          </w:tcPr>
          <w:p>
            <w:r>
              <w:rPr>
                <w:sz w:val="18"/>
              </w:rPr>
              <w:t>[enter]</w:t>
            </w:r>
          </w:p>
        </w:tc>
      </w:tr>
      <w:tr>
        <w:tc>
          <w:tcPr>
            <w:tcW w:type="dxa" w:w="3312"/>
          </w:tcPr>
          <w:p>
            <w:r>
              <w:rPr>
                <w:sz w:val="18"/>
              </w:rPr>
              <w:t>Signed account balance</w:t>
            </w:r>
          </w:p>
        </w:tc>
        <w:tc>
          <w:tcPr>
            <w:tcW w:type="dxa" w:w="3312"/>
          </w:tcPr>
          <w:p>
            <w:r>
              <w:rPr>
                <w:sz w:val="18"/>
              </w:rPr>
              <w:t>[enter]</w:t>
            </w:r>
          </w:p>
        </w:tc>
        <w:tc>
          <w:tcPr>
            <w:tcW w:type="dxa" w:w="3312"/>
          </w:tcPr>
          <w:p>
            <w:r>
              <w:rPr>
                <w:sz w:val="18"/>
              </w:rPr>
              <w:t>[enter]</w:t>
            </w:r>
          </w:p>
        </w:tc>
      </w:tr>
    </w:tbl>
    <w:p/>
    <w:p>
      <w:r>
        <w:t>Positive balance means an arithmetic amount remaining in the proposed account; negative means an arithmetic overpayment. Neither result decides legal entitlement. A deposit applied in this account must not also be deducted as a separate payment.</w:t>
      </w:r>
    </w:p>
    <w:p>
      <w:r>
        <w:rPr>
          <w:b/>
        </w:rPr>
        <w:t xml:space="preserve">Disputed or excluded items and reason: </w:t>
      </w:r>
      <w:r>
        <w:t>[enter here]</w:t>
      </w:r>
    </w:p>
    <w:p>
      <w:r>
        <w:rPr>
          <w:b/>
        </w:rPr>
        <w:t xml:space="preserve">Property handover and remaining tasks: </w:t>
      </w:r>
      <w:r>
        <w:t>[enter here]</w:t>
      </w:r>
    </w:p>
    <w:p>
      <w:r>
        <w:rPr>
          <w:b/>
        </w:rPr>
        <w:t xml:space="preserve">Proposed payment or refund arrangement: </w:t>
      </w:r>
      <w:r>
        <w:t>[enter here]</w:t>
      </w:r>
    </w:p>
    <w:p>
      <w:r>
        <w:rPr>
          <w:b/>
        </w:rPr>
        <w:t xml:space="preserve">Required legal review and unresolved questions: </w:t>
      </w:r>
      <w:r>
        <w:t>[enter here]</w:t>
      </w:r>
    </w:p>
    <w:p>
      <w:r>
        <w:rPr>
          <w:b/>
        </w:rPr>
        <w:t xml:space="preserve">Prepared reviewed and dispatched by: </w:t>
      </w:r>
      <w:r>
        <w:t>[enter here]</w:t>
      </w:r>
    </w:p>
    <w:p>
      <w:r>
        <w:rPr>
          <w:b/>
        </w:rPr>
        <w:t xml:space="preserve">Supporting workbook version and evidence index: </w:t>
      </w:r>
      <w:r>
        <w:t>[enter here]</w:t>
      </w:r>
    </w:p>
    <w:p>
      <w:r>
        <w:t>☐  Receipts are reconciled to the bank and ledger.</w:t>
      </w:r>
    </w:p>
    <w:p>
      <w:r>
        <w:t>☐  Returns and credits are counted once.</w:t>
      </w:r>
    </w:p>
    <w:p>
      <w:r>
        <w:t>☐  No unsupported lost profit or penalty is included.</w:t>
      </w:r>
    </w:p>
    <w:p>
      <w:r>
        <w:t>☐  Any settlement or release is separately reviewed.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EP07-09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cancellation final account</dc:title>
  <dc:subject>EP07-09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