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Cancellation site condition and handover report</w:t>
      </w:r>
    </w:p>
    <w:p>
      <w:r>
        <w:rPr>
          <w:color w:val="55626B"/>
        </w:rPr>
        <w:t>General information to help you organise your paperwork. Not legal advice.</w:t>
      </w:r>
    </w:p>
    <w:p>
      <w:pPr>
        <w:pStyle w:val="Heading1"/>
      </w:pPr>
      <w:r>
        <w:t>Record the site at cancellation</w:t>
      </w:r>
    </w:p>
    <w:p>
      <w:r>
        <w:t>Use a joint inspection where feasible. Record observations and disagreements separately. This report documents condition and custody; it does not automatically accept workmanship, transfer title or release either party.</w:t>
      </w:r>
    </w:p>
    <w:p>
      <w:r>
        <w:rPr>
          <w:b/>
        </w:rPr>
        <w:t xml:space="preserve">Site project and contract: </w:t>
      </w:r>
      <w:r>
        <w:t>[enter here]</w:t>
      </w:r>
    </w:p>
    <w:p>
      <w:r>
        <w:rPr>
          <w:b/>
        </w:rPr>
        <w:t xml:space="preserve">Inspection date time weather and attendees: </w:t>
      </w:r>
      <w:r>
        <w:t>[enter here]</w:t>
      </w:r>
    </w:p>
    <w:p>
      <w:r>
        <w:rPr>
          <w:b/>
        </w:rPr>
        <w:t xml:space="preserve">Cancellation instruction and affected areas: </w:t>
      </w:r>
      <w:r>
        <w:t>[enter here]</w:t>
      </w:r>
    </w:p>
    <w:p>
      <w:r>
        <w:rPr>
          <w:b/>
        </w:rPr>
        <w:t xml:space="preserve">Outgoing and receiving representatives: </w:t>
      </w:r>
      <w:r>
        <w:t>[enter here]</w:t>
      </w:r>
    </w:p>
    <w:p>
      <w:r>
        <w:rPr>
          <w:b/>
        </w:rPr>
        <w:t xml:space="preserve">Access authority and safety plan: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Area / work item</w:t>
            </w:r>
          </w:p>
        </w:tc>
        <w:tc>
          <w:tcPr>
            <w:tcW w:type="dxa" w:w="2484"/>
            <w:shd w:val="clear" w:fill="DDE8EF"/>
          </w:tcPr>
          <w:p>
            <w:r>
              <w:rPr>
                <w:b/>
                <w:sz w:val="18"/>
              </w:rPr>
              <w:t>Completed and unfinished condition</w:t>
            </w:r>
          </w:p>
        </w:tc>
        <w:tc>
          <w:tcPr>
            <w:tcW w:type="dxa" w:w="2484"/>
            <w:shd w:val="clear" w:fill="DDE8EF"/>
          </w:tcPr>
          <w:p>
            <w:r>
              <w:rPr>
                <w:b/>
                <w:sz w:val="18"/>
              </w:rPr>
              <w:t>Photo ID</w:t>
            </w:r>
          </w:p>
        </w:tc>
        <w:tc>
          <w:tcPr>
            <w:tcW w:type="dxa" w:w="2484"/>
            <w:shd w:val="clear" w:fill="DDE8EF"/>
          </w:tcPr>
          <w:p>
            <w:r>
              <w:rPr>
                <w:b/>
                <w:sz w:val="18"/>
              </w:rPr>
              <w:t>Restriction</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Immediate protective work and owner: </w:t>
      </w:r>
      <w:r>
        <w:t>[enter here]</w:t>
      </w:r>
    </w:p>
    <w:p>
      <w:r>
        <w:rPr>
          <w:b/>
        </w:rPr>
        <w:t xml:space="preserve">Disputed observations and evidence: </w:t>
      </w:r>
      <w:r>
        <w:t>[enter here]</w:t>
      </w:r>
    </w:p>
    <w:p>
      <w:r>
        <w:br w:type="page"/>
      </w:r>
    </w:p>
    <w:p>
      <w:pPr>
        <w:pStyle w:val="Heading1"/>
      </w:pPr>
      <w:r>
        <w:t>Account for property and continuing duties</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Item / serial</w:t>
            </w:r>
          </w:p>
        </w:tc>
        <w:tc>
          <w:tcPr>
            <w:tcW w:type="dxa" w:w="2484"/>
            <w:shd w:val="clear" w:fill="DDE8EF"/>
          </w:tcPr>
          <w:p>
            <w:r>
              <w:rPr>
                <w:b/>
                <w:sz w:val="18"/>
              </w:rPr>
              <w:t>Owner and evidence</w:t>
            </w:r>
          </w:p>
        </w:tc>
        <w:tc>
          <w:tcPr>
            <w:tcW w:type="dxa" w:w="2484"/>
            <w:shd w:val="clear" w:fill="DDE8EF"/>
          </w:tcPr>
          <w:p>
            <w:r>
              <w:rPr>
                <w:b/>
                <w:sz w:val="18"/>
              </w:rPr>
              <w:t>Location / condition</w:t>
            </w:r>
          </w:p>
        </w:tc>
        <w:tc>
          <w:tcPr>
            <w:tcW w:type="dxa" w:w="2484"/>
            <w:shd w:val="clear" w:fill="DDE8EF"/>
          </w:tcPr>
          <w:p>
            <w:r>
              <w:rPr>
                <w:b/>
                <w:sz w:val="18"/>
              </w:rPr>
              <w:t>Custodian</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Continuing task</w:t>
            </w:r>
          </w:p>
        </w:tc>
        <w:tc>
          <w:tcPr>
            <w:tcW w:type="dxa" w:w="2484"/>
            <w:shd w:val="clear" w:fill="DDE8EF"/>
          </w:tcPr>
          <w:p>
            <w:r>
              <w:rPr>
                <w:b/>
                <w:sz w:val="18"/>
              </w:rPr>
              <w:t>Responsible person</w:t>
            </w:r>
          </w:p>
        </w:tc>
        <w:tc>
          <w:tcPr>
            <w:tcW w:type="dxa" w:w="2484"/>
            <w:shd w:val="clear" w:fill="DDE8EF"/>
          </w:tcPr>
          <w:p>
            <w:r>
              <w:rPr>
                <w:b/>
                <w:sz w:val="18"/>
              </w:rPr>
              <w:t>Frequency / trigger</w:t>
            </w:r>
          </w:p>
        </w:tc>
        <w:tc>
          <w:tcPr>
            <w:tcW w:type="dxa" w:w="2484"/>
            <w:shd w:val="clear" w:fill="DDE8EF"/>
          </w:tcPr>
          <w:p>
            <w:r>
              <w:rPr>
                <w:b/>
                <w:sz w:val="18"/>
              </w:rPr>
              <w:t>Contact</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Keys and controlled access record: </w:t>
      </w:r>
      <w:r>
        <w:t>[enter here]</w:t>
      </w:r>
    </w:p>
    <w:p>
      <w:r>
        <w:rPr>
          <w:b/>
        </w:rPr>
        <w:t xml:space="preserve">Utilities alarms and emergency arrangements: </w:t>
      </w:r>
      <w:r>
        <w:t>[enter here]</w:t>
      </w:r>
    </w:p>
    <w:p>
      <w:r>
        <w:rPr>
          <w:b/>
        </w:rPr>
        <w:t xml:space="preserve">Materials returned or retained and authority: </w:t>
      </w:r>
      <w:r>
        <w:t>[enter here]</w:t>
      </w:r>
    </w:p>
    <w:p>
      <w:r>
        <w:rPr>
          <w:b/>
        </w:rPr>
        <w:t xml:space="preserve">Permits inspections and notifications: </w:t>
      </w:r>
      <w:r>
        <w:t>[enter here]</w:t>
      </w:r>
    </w:p>
    <w:p>
      <w:r>
        <w:rPr>
          <w:b/>
        </w:rPr>
        <w:t xml:space="preserve">Next inspection date and owner: </w:t>
      </w:r>
      <w:r>
        <w:t>[enter here]</w:t>
      </w:r>
    </w:p>
    <w:p>
      <w:r>
        <w:t>Store access codes separately in a secure attachment. Record hired equipment distinctly from owned equipment. Removal or transfer needs proper authority; a signature acknowledging this report is not a blanket release.</w:t>
      </w:r>
    </w:p>
    <w:p>
      <w:r>
        <w:br w:type="page"/>
      </w:r>
    </w:p>
    <w:p>
      <w:pPr>
        <w:pStyle w:val="Heading1"/>
      </w:pPr>
      <w:r>
        <w:t>Confirm the scope of acknowledgement</w:t>
      </w:r>
    </w:p>
    <w:p>
      <w:r>
        <w:rPr>
          <w:b/>
        </w:rPr>
        <w:t xml:space="preserve">Outgoing name role signature and date: </w:t>
      </w:r>
      <w:r>
        <w:t>[enter here]</w:t>
      </w:r>
    </w:p>
    <w:p>
      <w:r>
        <w:rPr>
          <w:b/>
        </w:rPr>
        <w:t xml:space="preserve">Receiving name role signature and date: </w:t>
      </w:r>
      <w:r>
        <w:t>[enter here]</w:t>
      </w:r>
    </w:p>
    <w:p>
      <w:r>
        <w:rPr>
          <w:b/>
        </w:rPr>
        <w:t xml:space="preserve">Acknowledged facts and express reservations: </w:t>
      </w:r>
      <w:r>
        <w:t>[enter here]</w:t>
      </w:r>
    </w:p>
    <w:p>
      <w:r>
        <w:rPr>
          <w:b/>
        </w:rPr>
        <w:t xml:space="preserve">Missing records or disputed inventory: </w:t>
      </w:r>
      <w:r>
        <w:t>[enter here]</w:t>
      </w:r>
    </w:p>
    <w:p>
      <w:r>
        <w:rPr>
          <w:b/>
        </w:rPr>
        <w:t xml:space="preserve">Photo index and attachments: </w:t>
      </w:r>
      <w:r>
        <w:t>[enter here]</w:t>
      </w:r>
    </w:p>
    <w:p>
      <w:r>
        <w:rPr>
          <w:b/>
        </w:rPr>
        <w:t xml:space="preserve">Copies delivered to and method: </w:t>
      </w:r>
      <w:r>
        <w:t>[enter here]</w:t>
      </w:r>
    </w:p>
    <w:p>
      <w:r>
        <w:t>☐  Every identified hazard has a responsible person.</w:t>
      </w:r>
    </w:p>
    <w:p>
      <w:r>
        <w:t>☐  Unfinished work and weather protection are recorded.</w:t>
      </w:r>
    </w:p>
    <w:p>
      <w:r>
        <w:t>☐  Ownership and custody are not conflated.</w:t>
      </w:r>
    </w:p>
    <w:p>
      <w:r>
        <w:t>☐  The record is linked to the final account without duplicate charges.</w:t>
      </w:r>
    </w:p>
    <w:p>
      <w:r>
        <w:t>☐  Any release or transfer wording has separate authorized review.</w:t>
      </w:r>
    </w:p>
    <w:p>
      <w:r>
        <w:t>Fictional example: unused cabinets remain in a locked room while their return is discussed. Record quantity, ownership evidence, condition and custodian. Do not infer that possession decides who pays or who owns the cabinets.</w:t>
      </w:r>
    </w:p>
    <w:p>
      <w:r>
        <w:t>Jurisdiction-specific legal and site-safety verification required. This report supplies no engineering shutdown procedure.</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EP07-10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Cancellation site condition and handover report</dc:title>
  <dc:subject>EP07-10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