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Termination clause review</w:t>
      </w:r>
    </w:p>
    <w:p>
      <w:r>
        <w:rPr>
          <w:color w:val="55626B"/>
        </w:rPr>
        <w:t>General information to help you organise your paperwork. Not legal advice.</w:t>
      </w:r>
    </w:p>
    <w:p>
      <w:pPr>
        <w:pStyle w:val="Heading1"/>
      </w:pPr>
      <w:r>
        <w:t>Classify the event and read the whole agreement</w:t>
      </w:r>
    </w:p>
    <w:p>
      <w:r>
        <w:t>This worksheet prepares a legal review of a client cancellation. Identify whether the asserted basis is convenience, default, mutual agreement, consumer cancellation or another ground. A heading or a quoted sentence alone does not establish the applicable remedy.</w:t>
      </w:r>
    </w:p>
    <w:p>
      <w:r>
        <w:rPr>
          <w:b/>
        </w:rPr>
        <w:t xml:space="preserve">Project jurisdiction and residential or commercial use: </w:t>
      </w:r>
      <w:r>
        <w:t>[enter here]</w:t>
      </w:r>
    </w:p>
    <w:p>
      <w:r>
        <w:rPr>
          <w:b/>
        </w:rPr>
        <w:t xml:space="preserve">Parties contract date and amendments: </w:t>
      </w:r>
      <w:r>
        <w:t>[enter here]</w:t>
      </w:r>
    </w:p>
    <w:p>
      <w:r>
        <w:rPr>
          <w:b/>
        </w:rPr>
        <w:t xml:space="preserve">Contract formation place and channel: </w:t>
      </w:r>
      <w:r>
        <w:t>[enter here]</w:t>
      </w:r>
    </w:p>
    <w:p>
      <w:r>
        <w:rPr>
          <w:b/>
        </w:rPr>
        <w:t xml:space="preserve">Cancellation instruction and claimed ground: </w:t>
      </w:r>
      <w:r>
        <w:t>[enter here]</w:t>
      </w:r>
    </w:p>
    <w:p>
      <w:r>
        <w:rPr>
          <w:b/>
        </w:rPr>
        <w:t xml:space="preserve">Complete clause and related definitions: </w:t>
      </w:r>
      <w:r>
        <w:t>[enter here]</w:t>
      </w:r>
    </w:p>
    <w:p>
      <w:r>
        <w:rPr>
          <w:b/>
        </w:rPr>
        <w:t xml:space="preserve">Notice clause and incorporated documents: </w:t>
      </w:r>
      <w:r>
        <w:t>[enter here]</w:t>
      </w:r>
    </w:p>
    <w:p>
      <w:r>
        <w:rPr>
          <w:b/>
        </w:rPr>
        <w:t xml:space="preserve">Reviewer and review date: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Requirement</w:t>
            </w:r>
          </w:p>
        </w:tc>
        <w:tc>
          <w:tcPr>
            <w:tcW w:type="dxa" w:w="3312"/>
            <w:shd w:val="clear" w:fill="DDE8EF"/>
          </w:tcPr>
          <w:p>
            <w:r>
              <w:rPr>
                <w:b/>
                <w:sz w:val="18"/>
              </w:rPr>
              <w:t>Exact wording / source</w:t>
            </w:r>
          </w:p>
        </w:tc>
        <w:tc>
          <w:tcPr>
            <w:tcW w:type="dxa" w:w="3312"/>
            <w:shd w:val="clear" w:fill="DDE8EF"/>
          </w:tcPr>
          <w:p>
            <w:r>
              <w:rPr>
                <w:b/>
                <w:sz w:val="18"/>
              </w:rPr>
              <w:t>Fact or gap</w:t>
            </w:r>
          </w:p>
        </w:tc>
      </w:tr>
      <w:tr>
        <w:tc>
          <w:tcPr>
            <w:tcW w:type="dxa" w:w="3312"/>
          </w:tcPr>
          <w:p>
            <w:r>
              <w:rPr>
                <w:sz w:val="18"/>
              </w:rPr>
              <w:t>Authority to terminate</w:t>
            </w:r>
          </w:p>
        </w:tc>
        <w:tc>
          <w:tcPr>
            <w:tcW w:type="dxa" w:w="3312"/>
          </w:tcPr>
          <w:p>
            <w:r>
              <w:rPr>
                <w:sz w:val="18"/>
              </w:rPr>
              <w:t>[enter]</w:t>
            </w:r>
          </w:p>
        </w:tc>
        <w:tc>
          <w:tcPr>
            <w:tcW w:type="dxa" w:w="3312"/>
          </w:tcPr>
          <w:p>
            <w:r>
              <w:rPr>
                <w:sz w:val="18"/>
              </w:rPr>
              <w:t>[enter]</w:t>
            </w:r>
          </w:p>
        </w:tc>
      </w:tr>
      <w:tr>
        <w:tc>
          <w:tcPr>
            <w:tcW w:type="dxa" w:w="3312"/>
          </w:tcPr>
          <w:p>
            <w:r>
              <w:rPr>
                <w:sz w:val="18"/>
              </w:rPr>
              <w:t>Notice and service</w:t>
            </w:r>
          </w:p>
        </w:tc>
        <w:tc>
          <w:tcPr>
            <w:tcW w:type="dxa" w:w="3312"/>
          </w:tcPr>
          <w:p>
            <w:r>
              <w:rPr>
                <w:sz w:val="18"/>
              </w:rPr>
              <w:t>[enter]</w:t>
            </w:r>
          </w:p>
        </w:tc>
        <w:tc>
          <w:tcPr>
            <w:tcW w:type="dxa" w:w="3312"/>
          </w:tcPr>
          <w:p>
            <w:r>
              <w:rPr>
                <w:sz w:val="18"/>
              </w:rPr>
              <w:t>[enter]</w:t>
            </w:r>
          </w:p>
        </w:tc>
      </w:tr>
      <w:tr>
        <w:tc>
          <w:tcPr>
            <w:tcW w:type="dxa" w:w="3312"/>
          </w:tcPr>
          <w:p>
            <w:r>
              <w:rPr>
                <w:sz w:val="18"/>
              </w:rPr>
              <w:t>Cure or other prerequisites</w:t>
            </w:r>
          </w:p>
        </w:tc>
        <w:tc>
          <w:tcPr>
            <w:tcW w:type="dxa" w:w="3312"/>
          </w:tcPr>
          <w:p>
            <w:r>
              <w:rPr>
                <w:sz w:val="18"/>
              </w:rPr>
              <w:t>[enter]</w:t>
            </w:r>
          </w:p>
        </w:tc>
        <w:tc>
          <w:tcPr>
            <w:tcW w:type="dxa" w:w="3312"/>
          </w:tcPr>
          <w:p>
            <w:r>
              <w:rPr>
                <w:sz w:val="18"/>
              </w:rPr>
              <w:t>[enter]</w:t>
            </w:r>
          </w:p>
        </w:tc>
      </w:tr>
      <w:tr>
        <w:tc>
          <w:tcPr>
            <w:tcW w:type="dxa" w:w="3312"/>
          </w:tcPr>
          <w:p>
            <w:r>
              <w:rPr>
                <w:sz w:val="18"/>
              </w:rPr>
              <w:t>Valuation on termination</w:t>
            </w:r>
          </w:p>
        </w:tc>
        <w:tc>
          <w:tcPr>
            <w:tcW w:type="dxa" w:w="3312"/>
          </w:tcPr>
          <w:p>
            <w:r>
              <w:rPr>
                <w:sz w:val="18"/>
              </w:rPr>
              <w:t>[enter]</w:t>
            </w:r>
          </w:p>
        </w:tc>
        <w:tc>
          <w:tcPr>
            <w:tcW w:type="dxa" w:w="3312"/>
          </w:tcPr>
          <w:p>
            <w:r>
              <w:rPr>
                <w:sz w:val="18"/>
              </w:rPr>
              <w:t>[enter]</w:t>
            </w:r>
          </w:p>
        </w:tc>
      </w:tr>
    </w:tbl>
    <w:p/>
    <w:p>
      <w:r>
        <w:br w:type="page"/>
      </w:r>
    </w:p>
    <w:p>
      <w:pPr>
        <w:pStyle w:val="Heading1"/>
      </w:pPr>
      <w:r>
        <w:t>Record a qualified conclusion and its limits</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Review question</w:t>
            </w:r>
          </w:p>
        </w:tc>
        <w:tc>
          <w:tcPr>
            <w:tcW w:type="dxa" w:w="3312"/>
            <w:shd w:val="clear" w:fill="DDE8EF"/>
          </w:tcPr>
          <w:p>
            <w:r>
              <w:rPr>
                <w:b/>
                <w:sz w:val="18"/>
              </w:rPr>
              <w:t>Conclusion / unresolved issue</w:t>
            </w:r>
          </w:p>
        </w:tc>
        <w:tc>
          <w:tcPr>
            <w:tcW w:type="dxa" w:w="3312"/>
            <w:shd w:val="clear" w:fill="DDE8EF"/>
          </w:tcPr>
          <w:p>
            <w:r>
              <w:rPr>
                <w:b/>
                <w:sz w:val="18"/>
              </w:rPr>
              <w:t>Reviewer evidence</w:t>
            </w:r>
          </w:p>
        </w:tc>
      </w:tr>
      <w:tr>
        <w:tc>
          <w:tcPr>
            <w:tcW w:type="dxa" w:w="3312"/>
          </w:tcPr>
          <w:p>
            <w:r>
              <w:rPr>
                <w:sz w:val="18"/>
              </w:rPr>
              <w:t>Consumer regime and transition</w:t>
            </w:r>
          </w:p>
        </w:tc>
        <w:tc>
          <w:tcPr>
            <w:tcW w:type="dxa" w:w="3312"/>
          </w:tcPr>
          <w:p>
            <w:r>
              <w:rPr>
                <w:sz w:val="18"/>
              </w:rPr>
              <w:t>[to check]</w:t>
            </w:r>
          </w:p>
        </w:tc>
        <w:tc>
          <w:tcPr>
            <w:tcW w:type="dxa" w:w="3312"/>
          </w:tcPr>
          <w:p>
            <w:r>
              <w:rPr>
                <w:sz w:val="18"/>
              </w:rPr>
              <w:t>[enter]</w:t>
            </w:r>
          </w:p>
        </w:tc>
      </w:tr>
      <w:tr>
        <w:tc>
          <w:tcPr>
            <w:tcW w:type="dxa" w:w="3312"/>
          </w:tcPr>
          <w:p>
            <w:r>
              <w:rPr>
                <w:sz w:val="18"/>
              </w:rPr>
              <w:t>Effective date and scope</w:t>
            </w:r>
          </w:p>
        </w:tc>
        <w:tc>
          <w:tcPr>
            <w:tcW w:type="dxa" w:w="3312"/>
          </w:tcPr>
          <w:p>
            <w:r>
              <w:rPr>
                <w:sz w:val="18"/>
              </w:rPr>
              <w:t>[to check]</w:t>
            </w:r>
          </w:p>
        </w:tc>
        <w:tc>
          <w:tcPr>
            <w:tcW w:type="dxa" w:w="3312"/>
          </w:tcPr>
          <w:p>
            <w:r>
              <w:rPr>
                <w:sz w:val="18"/>
              </w:rPr>
              <w:t>[enter]</w:t>
            </w:r>
          </w:p>
        </w:tc>
      </w:tr>
      <w:tr>
        <w:tc>
          <w:tcPr>
            <w:tcW w:type="dxa" w:w="3312"/>
          </w:tcPr>
          <w:p>
            <w:r>
              <w:rPr>
                <w:sz w:val="18"/>
              </w:rPr>
              <w:t>Payment and refund treatment</w:t>
            </w:r>
          </w:p>
        </w:tc>
        <w:tc>
          <w:tcPr>
            <w:tcW w:type="dxa" w:w="3312"/>
          </w:tcPr>
          <w:p>
            <w:r>
              <w:rPr>
                <w:sz w:val="18"/>
              </w:rPr>
              <w:t>[to check]</w:t>
            </w:r>
          </w:p>
        </w:tc>
        <w:tc>
          <w:tcPr>
            <w:tcW w:type="dxa" w:w="3312"/>
          </w:tcPr>
          <w:p>
            <w:r>
              <w:rPr>
                <w:sz w:val="18"/>
              </w:rPr>
              <w:t>[enter]</w:t>
            </w:r>
          </w:p>
        </w:tc>
      </w:tr>
      <w:tr>
        <w:tc>
          <w:tcPr>
            <w:tcW w:type="dxa" w:w="3312"/>
          </w:tcPr>
          <w:p>
            <w:r>
              <w:rPr>
                <w:sz w:val="18"/>
              </w:rPr>
              <w:t>Materials title and custody</w:t>
            </w:r>
          </w:p>
        </w:tc>
        <w:tc>
          <w:tcPr>
            <w:tcW w:type="dxa" w:w="3312"/>
          </w:tcPr>
          <w:p>
            <w:r>
              <w:rPr>
                <w:sz w:val="18"/>
              </w:rPr>
              <w:t>[to check]</w:t>
            </w:r>
          </w:p>
        </w:tc>
        <w:tc>
          <w:tcPr>
            <w:tcW w:type="dxa" w:w="3312"/>
          </w:tcPr>
          <w:p>
            <w:r>
              <w:rPr>
                <w:sz w:val="18"/>
              </w:rPr>
              <w:t>[enter]</w:t>
            </w:r>
          </w:p>
        </w:tc>
      </w:tr>
      <w:tr>
        <w:tc>
          <w:tcPr>
            <w:tcW w:type="dxa" w:w="3312"/>
          </w:tcPr>
          <w:p>
            <w:r>
              <w:rPr>
                <w:sz w:val="18"/>
              </w:rPr>
              <w:t>Continuing duties and rights</w:t>
            </w:r>
          </w:p>
        </w:tc>
        <w:tc>
          <w:tcPr>
            <w:tcW w:type="dxa" w:w="3312"/>
          </w:tcPr>
          <w:p>
            <w:r>
              <w:rPr>
                <w:sz w:val="18"/>
              </w:rPr>
              <w:t>[to check]</w:t>
            </w:r>
          </w:p>
        </w:tc>
        <w:tc>
          <w:tcPr>
            <w:tcW w:type="dxa" w:w="3312"/>
          </w:tcPr>
          <w:p>
            <w:r>
              <w:rPr>
                <w:sz w:val="18"/>
              </w:rPr>
              <w:t>[enter]</w:t>
            </w:r>
          </w:p>
        </w:tc>
      </w:tr>
    </w:tbl>
    <w:p/>
    <w:p>
      <w:r>
        <w:t>Fictional issue: an email says stop the kitchen work, while a separate bathroom scope remains scheduled. Record both scopes and obtain clarification; do not treat the entire agreement as terminated automatically.</w:t>
      </w:r>
    </w:p>
    <w:p>
      <w:r>
        <w:rPr>
          <w:b/>
        </w:rPr>
        <w:t xml:space="preserve">Competing interpretation: </w:t>
      </w:r>
      <w:r>
        <w:t>[enter here]</w:t>
      </w:r>
    </w:p>
    <w:p>
      <w:r>
        <w:rPr>
          <w:b/>
        </w:rPr>
        <w:t xml:space="preserve">Confirmed notice or refund dates and source: </w:t>
      </w:r>
      <w:r>
        <w:t>[enter here]</w:t>
      </w:r>
    </w:p>
    <w:p>
      <w:r>
        <w:rPr>
          <w:b/>
        </w:rPr>
        <w:t xml:space="preserve">Authorized next action and limits: </w:t>
      </w:r>
      <w:r>
        <w:t>[enter here]</w:t>
      </w:r>
    </w:p>
    <w:p>
      <w:r>
        <w:rPr>
          <w:b/>
        </w:rPr>
        <w:t xml:space="preserve">Facts that require renewed review: </w:t>
      </w:r>
      <w:r>
        <w:t>[enter here]</w:t>
      </w:r>
    </w:p>
    <w:p>
      <w:r>
        <w:t>No default legal period, liquidated damages amount or entitlement is supplied. Legal application remains unapproved.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EP07-03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Termination clause review</dc:title>
  <dc:subject>EP07-03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